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72"/>
        <w:gridCol w:w="142"/>
        <w:gridCol w:w="787"/>
        <w:gridCol w:w="1552"/>
        <w:gridCol w:w="965"/>
        <w:gridCol w:w="1474"/>
        <w:gridCol w:w="1934"/>
      </w:tblGrid>
      <w:tr w:rsidR="00B20B80" w:rsidRPr="003C2673" w14:paraId="35DA9383" w14:textId="77777777" w:rsidTr="005E7B59">
        <w:tc>
          <w:tcPr>
            <w:tcW w:w="9468" w:type="dxa"/>
            <w:gridSpan w:val="8"/>
            <w:shd w:val="clear" w:color="auto" w:fill="B8CCE4" w:themeFill="accent1" w:themeFillTint="66"/>
          </w:tcPr>
          <w:p w14:paraId="39F2E226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B20B80" w:rsidRPr="003C2673" w14:paraId="59B68EC1" w14:textId="77777777" w:rsidTr="00752877">
        <w:tc>
          <w:tcPr>
            <w:tcW w:w="3543" w:type="dxa"/>
            <w:gridSpan w:val="4"/>
          </w:tcPr>
          <w:p w14:paraId="1D59DBEA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Njësia akademike: </w:t>
            </w:r>
          </w:p>
        </w:tc>
        <w:tc>
          <w:tcPr>
            <w:tcW w:w="5925" w:type="dxa"/>
            <w:gridSpan w:val="4"/>
          </w:tcPr>
          <w:p w14:paraId="1B5652E3" w14:textId="09819339" w:rsidR="00B20B80" w:rsidRPr="003C2673" w:rsidRDefault="00B20B80" w:rsidP="00752877">
            <w:pPr>
              <w:shd w:val="clear" w:color="auto" w:fill="FFFFFF"/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FAKULTETI I GJEOSHKENCAVE </w:t>
            </w:r>
          </w:p>
        </w:tc>
      </w:tr>
      <w:tr w:rsidR="00B20B80" w:rsidRPr="003C2673" w14:paraId="45DE9FFB" w14:textId="77777777" w:rsidTr="00752877">
        <w:tc>
          <w:tcPr>
            <w:tcW w:w="3543" w:type="dxa"/>
            <w:gridSpan w:val="4"/>
          </w:tcPr>
          <w:p w14:paraId="4B8F561C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Titulli i lëndës:</w:t>
            </w:r>
          </w:p>
        </w:tc>
        <w:tc>
          <w:tcPr>
            <w:tcW w:w="5925" w:type="dxa"/>
            <w:gridSpan w:val="4"/>
          </w:tcPr>
          <w:p w14:paraId="54E73B66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GJUHË GJERMANE I</w:t>
            </w:r>
          </w:p>
        </w:tc>
      </w:tr>
      <w:tr w:rsidR="00B20B80" w:rsidRPr="003C2673" w14:paraId="7D4AE331" w14:textId="77777777" w:rsidTr="00752877">
        <w:tc>
          <w:tcPr>
            <w:tcW w:w="3543" w:type="dxa"/>
            <w:gridSpan w:val="4"/>
          </w:tcPr>
          <w:p w14:paraId="08AC378E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Niveli:</w:t>
            </w:r>
          </w:p>
        </w:tc>
        <w:tc>
          <w:tcPr>
            <w:tcW w:w="5925" w:type="dxa"/>
            <w:gridSpan w:val="4"/>
          </w:tcPr>
          <w:p w14:paraId="51DBEE1E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Bachelor</w:t>
            </w:r>
          </w:p>
        </w:tc>
      </w:tr>
      <w:tr w:rsidR="00B20B80" w:rsidRPr="003C2673" w14:paraId="00525486" w14:textId="77777777" w:rsidTr="00752877">
        <w:tc>
          <w:tcPr>
            <w:tcW w:w="3543" w:type="dxa"/>
            <w:gridSpan w:val="4"/>
          </w:tcPr>
          <w:p w14:paraId="3CFAB707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Statusi lëndës:</w:t>
            </w:r>
          </w:p>
        </w:tc>
        <w:tc>
          <w:tcPr>
            <w:tcW w:w="5925" w:type="dxa"/>
            <w:gridSpan w:val="4"/>
          </w:tcPr>
          <w:p w14:paraId="794C547E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B20B80" w:rsidRPr="003C2673" w14:paraId="589A6C68" w14:textId="77777777" w:rsidTr="00752877">
        <w:tc>
          <w:tcPr>
            <w:tcW w:w="3543" w:type="dxa"/>
            <w:gridSpan w:val="4"/>
          </w:tcPr>
          <w:p w14:paraId="718137C6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Viti i studimeve:</w:t>
            </w:r>
          </w:p>
        </w:tc>
        <w:tc>
          <w:tcPr>
            <w:tcW w:w="5925" w:type="dxa"/>
            <w:gridSpan w:val="4"/>
          </w:tcPr>
          <w:p w14:paraId="05458F63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Vitii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Semestri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I,</w:t>
            </w:r>
          </w:p>
        </w:tc>
      </w:tr>
      <w:tr w:rsidR="00B20B80" w:rsidRPr="003C2673" w14:paraId="5DC1E66A" w14:textId="77777777" w:rsidTr="00752877">
        <w:tc>
          <w:tcPr>
            <w:tcW w:w="3543" w:type="dxa"/>
            <w:gridSpan w:val="4"/>
          </w:tcPr>
          <w:p w14:paraId="373DA866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Numri i orëve në javë:</w:t>
            </w:r>
          </w:p>
        </w:tc>
        <w:tc>
          <w:tcPr>
            <w:tcW w:w="5925" w:type="dxa"/>
            <w:gridSpan w:val="4"/>
          </w:tcPr>
          <w:p w14:paraId="537229FE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2+1</w:t>
            </w:r>
          </w:p>
        </w:tc>
      </w:tr>
      <w:tr w:rsidR="00B20B80" w:rsidRPr="003C2673" w14:paraId="27615E3B" w14:textId="77777777" w:rsidTr="00752877">
        <w:tc>
          <w:tcPr>
            <w:tcW w:w="3543" w:type="dxa"/>
            <w:gridSpan w:val="4"/>
          </w:tcPr>
          <w:p w14:paraId="72B154FC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925" w:type="dxa"/>
            <w:gridSpan w:val="4"/>
          </w:tcPr>
          <w:p w14:paraId="181637A4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106.M</w:t>
            </w:r>
          </w:p>
        </w:tc>
      </w:tr>
      <w:tr w:rsidR="00B20B80" w:rsidRPr="003C2673" w14:paraId="084E421E" w14:textId="77777777" w:rsidTr="00752877">
        <w:tc>
          <w:tcPr>
            <w:tcW w:w="3543" w:type="dxa"/>
            <w:gridSpan w:val="4"/>
            <w:shd w:val="clear" w:color="auto" w:fill="auto"/>
          </w:tcPr>
          <w:p w14:paraId="5D68B421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Vlera në kredi – ECTS: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14D346C2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</w:p>
        </w:tc>
      </w:tr>
      <w:tr w:rsidR="00B20B80" w:rsidRPr="003C2673" w14:paraId="49BE15B0" w14:textId="77777777" w:rsidTr="00752877">
        <w:tc>
          <w:tcPr>
            <w:tcW w:w="3543" w:type="dxa"/>
            <w:gridSpan w:val="4"/>
            <w:shd w:val="clear" w:color="auto" w:fill="auto"/>
          </w:tcPr>
          <w:p w14:paraId="3D4B30DF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Koha / lokacioni: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089EA8CA" w14:textId="77777777" w:rsidR="00B20B80" w:rsidRPr="003C2673" w:rsidRDefault="00B20B80" w:rsidP="007528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ED4CF6" w:rsidRPr="003C2673" w14:paraId="51C23844" w14:textId="77777777" w:rsidTr="00752877">
        <w:tc>
          <w:tcPr>
            <w:tcW w:w="3543" w:type="dxa"/>
            <w:gridSpan w:val="4"/>
            <w:shd w:val="clear" w:color="auto" w:fill="auto"/>
          </w:tcPr>
          <w:p w14:paraId="1C52E5A5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Mësimdhënësi i lëndës: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3340A337" w14:textId="3D674350" w:rsidR="00ED4CF6" w:rsidRPr="003C2673" w:rsidRDefault="00ED4CF6" w:rsidP="00ED4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sq-AL"/>
              </w:rPr>
              <w:t>Prof Ass Dr. Sadete Pllana</w:t>
            </w:r>
          </w:p>
        </w:tc>
      </w:tr>
      <w:tr w:rsidR="00ED4CF6" w:rsidRPr="003C2673" w14:paraId="2AE888AC" w14:textId="77777777" w:rsidTr="00752877">
        <w:tc>
          <w:tcPr>
            <w:tcW w:w="3543" w:type="dxa"/>
            <w:gridSpan w:val="4"/>
          </w:tcPr>
          <w:p w14:paraId="22F566E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Detajet kontaktuese: </w:t>
            </w:r>
          </w:p>
        </w:tc>
        <w:tc>
          <w:tcPr>
            <w:tcW w:w="5925" w:type="dxa"/>
            <w:gridSpan w:val="4"/>
          </w:tcPr>
          <w:p w14:paraId="3B78F8A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bookmarkStart w:id="0" w:name="_GoBack"/>
        <w:bookmarkEnd w:id="0"/>
      </w:tr>
      <w:tr w:rsidR="00ED4CF6" w:rsidRPr="003C2673" w14:paraId="04A07A95" w14:textId="77777777" w:rsidTr="00752877">
        <w:tc>
          <w:tcPr>
            <w:tcW w:w="9468" w:type="dxa"/>
            <w:gridSpan w:val="8"/>
            <w:shd w:val="clear" w:color="auto" w:fill="auto"/>
          </w:tcPr>
          <w:p w14:paraId="35CFEC1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D4CF6" w:rsidRPr="003C2673" w14:paraId="4C3908BB" w14:textId="77777777" w:rsidTr="00752877">
        <w:trPr>
          <w:trHeight w:val="3482"/>
        </w:trPr>
        <w:tc>
          <w:tcPr>
            <w:tcW w:w="2342" w:type="dxa"/>
            <w:shd w:val="clear" w:color="auto" w:fill="FFFFFF"/>
            <w:vAlign w:val="center"/>
          </w:tcPr>
          <w:p w14:paraId="1B8B6C4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7126" w:type="dxa"/>
            <w:gridSpan w:val="7"/>
          </w:tcPr>
          <w:p w14:paraId="4EC520C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87555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Gjuhë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I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” ka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qëllim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shërbejnë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por,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shkurtëra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mundësisht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pa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gabime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11E2161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ligjëratave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pjesë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shërbim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lidhura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ngushtë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trajtohen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ligjëratave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parapara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kryesisht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libri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kësaj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leksionet</w:t>
            </w:r>
            <w:proofErr w:type="spellEnd"/>
            <w:proofErr w:type="gram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1-5. </w:t>
            </w:r>
          </w:p>
          <w:p w14:paraId="29774E3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sistematikisht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katër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kryesore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folurit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por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fjalori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”. 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Ky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ndarë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leksione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organizuara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mënyrë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tematike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zgjedhura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përditshme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përkojnë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interesimet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nxënësve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fillestarë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këtyre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thellohen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njohuritë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ekzistuese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përditshëm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reagojnë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situata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ndryshme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komunikative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njerëz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profesionet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tyre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nevojat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themelore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jetësore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etj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diskutohet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Erste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Kontakte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kontaktet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para),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Beruf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Herkunft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profesioni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prejardhja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in Haus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Haushalt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gjërat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shtëpisë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amvisërisë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Essen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Trinken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ushqimi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pijet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Einkaufen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blerja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Restaurant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restaurant),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Essgewohnheiten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shprehitë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zakonet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ushqyerit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Freizeit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koha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lirë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Wohnen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banimi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etj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60FFB11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ushtruar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shkathtësinë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dëgjuarit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përdoren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CD-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tema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libri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D4CF6" w:rsidRPr="003C2673" w14:paraId="187642A5" w14:textId="77777777" w:rsidTr="00752877">
        <w:trPr>
          <w:cantSplit/>
          <w:trHeight w:val="1134"/>
        </w:trPr>
        <w:tc>
          <w:tcPr>
            <w:tcW w:w="2342" w:type="dxa"/>
            <w:shd w:val="clear" w:color="auto" w:fill="FFFFFF"/>
            <w:vAlign w:val="center"/>
          </w:tcPr>
          <w:p w14:paraId="4310DE2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sq-AL"/>
              </w:rPr>
              <w:lastRenderedPageBreak/>
              <w:t>Qëllimet e lëndës</w:t>
            </w: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7126" w:type="dxa"/>
            <w:gridSpan w:val="7"/>
          </w:tcPr>
          <w:p w14:paraId="792841E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këtë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lëndë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elementet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kulturës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ligjëratave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pjesë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gramatika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shërbim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komunikimit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lidhura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ngushtë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trajtohen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semestrit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Temat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zhvillohen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jenë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kryesisht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libri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kësaj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lënde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1</w:t>
            </w:r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“. Ata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gjithashtu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punës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praktike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shkathtësitë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komunikimit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dëgjuarit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kuptuarit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folurit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lexuarit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shkruarit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Poashtu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aftësohen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komunikojnë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gjëra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thjeshta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njerëz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përkasin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kulturës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ED4CF6" w:rsidRPr="003C2673" w14:paraId="25B3BED5" w14:textId="77777777" w:rsidTr="00752877">
        <w:trPr>
          <w:cantSplit/>
          <w:trHeight w:val="1134"/>
        </w:trPr>
        <w:tc>
          <w:tcPr>
            <w:tcW w:w="2342" w:type="dxa"/>
            <w:shd w:val="clear" w:color="auto" w:fill="FFFFFF"/>
            <w:vAlign w:val="center"/>
          </w:tcPr>
          <w:p w14:paraId="0BE77F1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7126" w:type="dxa"/>
            <w:gridSpan w:val="7"/>
          </w:tcPr>
          <w:p w14:paraId="4B039CA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Pas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përfundimit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këtij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kursi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gjendje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649E745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ndryshme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shumë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shkurtëra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mundësisht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duke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përmbajtur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drejtshkrimit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strukturës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fjalisë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DE1D8C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lexojë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duke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përmbajtur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drejtshqiptimit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kuptojë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C45A2A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dëgjojë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kuptojë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biseda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caktuara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por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thjeshta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67DDD8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përdorur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1” </w:t>
            </w:r>
          </w:p>
          <w:p w14:paraId="45A7428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dijë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shpjeguar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1”</w:t>
            </w:r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shërbim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3CAF21E2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aftësohen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shfrytëzojnë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strukturat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rregullsitë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përdorimin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vetëdijshëm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amtare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t’i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mënyrë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pavarur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tutje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aftësitë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fituara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mbi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tjera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huaja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ED4CF6" w:rsidRPr="003C2673" w14:paraId="2DA124AA" w14:textId="77777777" w:rsidTr="00752877">
        <w:trPr>
          <w:trHeight w:val="287"/>
        </w:trPr>
        <w:tc>
          <w:tcPr>
            <w:tcW w:w="9468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7BACC226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Kontributi ne ngarkesën e studentit </w:t>
            </w:r>
          </w:p>
        </w:tc>
      </w:tr>
      <w:tr w:rsidR="00ED4CF6" w:rsidRPr="003C2673" w14:paraId="32BA6565" w14:textId="77777777" w:rsidTr="00752877">
        <w:tc>
          <w:tcPr>
            <w:tcW w:w="5095" w:type="dxa"/>
            <w:gridSpan w:val="5"/>
            <w:shd w:val="clear" w:color="auto" w:fill="auto"/>
          </w:tcPr>
          <w:p w14:paraId="1A086726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4F69EB0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Orë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2D6A5DA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javë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6497E85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ED4CF6" w:rsidRPr="003C2673" w14:paraId="41E7F788" w14:textId="77777777" w:rsidTr="00752877">
        <w:tc>
          <w:tcPr>
            <w:tcW w:w="5095" w:type="dxa"/>
            <w:gridSpan w:val="5"/>
            <w:shd w:val="clear" w:color="auto" w:fill="auto"/>
          </w:tcPr>
          <w:p w14:paraId="33D0A836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6D1F542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BAD66C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DC0A0DC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4CF6" w:rsidRPr="003C2673" w14:paraId="2F7AEE1C" w14:textId="77777777" w:rsidTr="00752877">
        <w:tc>
          <w:tcPr>
            <w:tcW w:w="5095" w:type="dxa"/>
            <w:gridSpan w:val="5"/>
            <w:shd w:val="clear" w:color="auto" w:fill="auto"/>
          </w:tcPr>
          <w:p w14:paraId="7B0FED8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teorike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laboratorike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D192F90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426C2C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13CAB0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4CF6" w:rsidRPr="003C2673" w14:paraId="609AAC22" w14:textId="77777777" w:rsidTr="00752877">
        <w:tc>
          <w:tcPr>
            <w:tcW w:w="5095" w:type="dxa"/>
            <w:gridSpan w:val="5"/>
            <w:shd w:val="clear" w:color="auto" w:fill="auto"/>
          </w:tcPr>
          <w:p w14:paraId="1A0D809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praktike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0AE13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6EFC4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3D229C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CF6" w:rsidRPr="003C2673" w14:paraId="05FC4AFB" w14:textId="77777777" w:rsidTr="00752877">
        <w:tc>
          <w:tcPr>
            <w:tcW w:w="5095" w:type="dxa"/>
            <w:gridSpan w:val="5"/>
            <w:shd w:val="clear" w:color="auto" w:fill="auto"/>
          </w:tcPr>
          <w:p w14:paraId="28CA8E90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Kontaktet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konsultimet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DCBE79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80EF1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762023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CF6" w:rsidRPr="003C2673" w14:paraId="123C0823" w14:textId="77777777" w:rsidTr="00752877">
        <w:tc>
          <w:tcPr>
            <w:tcW w:w="5095" w:type="dxa"/>
            <w:gridSpan w:val="5"/>
            <w:shd w:val="clear" w:color="auto" w:fill="auto"/>
          </w:tcPr>
          <w:p w14:paraId="3AD545D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2E52DF6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20FC9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58674D0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CF6" w:rsidRPr="003C2673" w14:paraId="271BE2FA" w14:textId="77777777" w:rsidTr="00752877">
        <w:tc>
          <w:tcPr>
            <w:tcW w:w="5095" w:type="dxa"/>
            <w:gridSpan w:val="5"/>
            <w:shd w:val="clear" w:color="auto" w:fill="auto"/>
          </w:tcPr>
          <w:p w14:paraId="2410DF8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Kollokfiume,seminare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65B724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3C6895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18504F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CF6" w:rsidRPr="003C2673" w14:paraId="62635927" w14:textId="77777777" w:rsidTr="00752877">
        <w:tc>
          <w:tcPr>
            <w:tcW w:w="5095" w:type="dxa"/>
            <w:gridSpan w:val="5"/>
            <w:shd w:val="clear" w:color="auto" w:fill="auto"/>
          </w:tcPr>
          <w:p w14:paraId="73DF5E98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Detyra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shtëpisë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5B3CDBE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8CC783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2DC820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6" w:rsidRPr="003C2673" w14:paraId="5C60D593" w14:textId="77777777" w:rsidTr="00752877">
        <w:tc>
          <w:tcPr>
            <w:tcW w:w="5095" w:type="dxa"/>
            <w:gridSpan w:val="5"/>
            <w:shd w:val="clear" w:color="auto" w:fill="auto"/>
          </w:tcPr>
          <w:p w14:paraId="18600BB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studimit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pavarur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studentit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shtëpi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7AEC140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638968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3F4AB6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4CF6" w:rsidRPr="003C2673" w14:paraId="6CD8429A" w14:textId="77777777" w:rsidTr="00752877">
        <w:tc>
          <w:tcPr>
            <w:tcW w:w="5095" w:type="dxa"/>
            <w:gridSpan w:val="5"/>
            <w:shd w:val="clear" w:color="auto" w:fill="auto"/>
          </w:tcPr>
          <w:p w14:paraId="09EE60F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Përgatitja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përfundimtare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provim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90AA12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D5ECB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4E769F1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4CF6" w:rsidRPr="003C2673" w14:paraId="4BE61F70" w14:textId="77777777" w:rsidTr="00752877">
        <w:tc>
          <w:tcPr>
            <w:tcW w:w="5095" w:type="dxa"/>
            <w:gridSpan w:val="5"/>
            <w:shd w:val="clear" w:color="auto" w:fill="auto"/>
          </w:tcPr>
          <w:p w14:paraId="3F7FF81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vlerësim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teste,kuiz,provim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5E7F9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50FAB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4AF809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CF6" w:rsidRPr="003C2673" w14:paraId="5020BF21" w14:textId="77777777" w:rsidTr="00752877">
        <w:tc>
          <w:tcPr>
            <w:tcW w:w="5095" w:type="dxa"/>
            <w:gridSpan w:val="5"/>
            <w:shd w:val="clear" w:color="auto" w:fill="auto"/>
          </w:tcPr>
          <w:p w14:paraId="5650F70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Projektet,prezantimet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B22DF7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3E3394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F197EC2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CF6" w:rsidRPr="003C2673" w14:paraId="2EF13725" w14:textId="77777777" w:rsidTr="00752877">
        <w:tc>
          <w:tcPr>
            <w:tcW w:w="5095" w:type="dxa"/>
            <w:gridSpan w:val="5"/>
            <w:shd w:val="clear" w:color="auto" w:fill="auto"/>
          </w:tcPr>
          <w:p w14:paraId="135128FC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B9E16C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ADC91D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AD455E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CF6" w:rsidRPr="003C2673" w14:paraId="38C6B4D1" w14:textId="77777777" w:rsidTr="00752877">
        <w:tc>
          <w:tcPr>
            <w:tcW w:w="5095" w:type="dxa"/>
            <w:gridSpan w:val="5"/>
            <w:shd w:val="clear" w:color="auto" w:fill="auto"/>
          </w:tcPr>
          <w:p w14:paraId="76DD5C4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252B22A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2DE614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2846A222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ED4CF6" w:rsidRPr="003C2673" w14:paraId="19DB76C2" w14:textId="77777777" w:rsidTr="00752877">
        <w:tc>
          <w:tcPr>
            <w:tcW w:w="9468" w:type="dxa"/>
            <w:gridSpan w:val="8"/>
            <w:shd w:val="clear" w:color="auto" w:fill="auto"/>
          </w:tcPr>
          <w:p w14:paraId="3A1384D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CF6" w:rsidRPr="003C2673" w14:paraId="2FF1D51E" w14:textId="77777777" w:rsidTr="00752877">
        <w:tc>
          <w:tcPr>
            <w:tcW w:w="2614" w:type="dxa"/>
            <w:gridSpan w:val="2"/>
          </w:tcPr>
          <w:p w14:paraId="1367BDB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6854" w:type="dxa"/>
            <w:gridSpan w:val="6"/>
          </w:tcPr>
          <w:p w14:paraId="0DE66CD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realizohet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ligjëratave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punohet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përmirësimin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folurit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5BE9B5D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metodës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bashkëbiseduese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punohet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mënyrë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çifte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grupe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Duke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qenë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metodat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reja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mësimdhënies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huaja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thonë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mënyra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mirë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gjuhëve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huaja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bëhet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përmes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komunikimit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kështu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zhvillohen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orët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njëjtën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formë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konceptuar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libri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cilin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kam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zgjedhur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punojmë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mënyra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mësimdhënies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ajo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studentin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qendër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ç’rast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janë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kohën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angazhuar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kyqur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bashkëbisedë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orët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ushtrimeve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punohet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libër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tjetër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veçantë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ku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njohuritë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marra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ligjëratat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përsërisin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shkrim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njëkohësisht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bëjnë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ushtrimet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gramatikore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D4CF6" w:rsidRPr="003C2673" w14:paraId="47CE805B" w14:textId="77777777" w:rsidTr="00752877">
        <w:tc>
          <w:tcPr>
            <w:tcW w:w="2614" w:type="dxa"/>
            <w:gridSpan w:val="2"/>
          </w:tcPr>
          <w:p w14:paraId="6B89BBD5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854" w:type="dxa"/>
            <w:gridSpan w:val="6"/>
          </w:tcPr>
          <w:p w14:paraId="1DF7D5B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ED4CF6" w:rsidRPr="003C2673" w14:paraId="770CC3CB" w14:textId="77777777" w:rsidTr="00752877">
        <w:tc>
          <w:tcPr>
            <w:tcW w:w="2614" w:type="dxa"/>
            <w:gridSpan w:val="2"/>
          </w:tcPr>
          <w:p w14:paraId="581F09B6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6854" w:type="dxa"/>
            <w:gridSpan w:val="6"/>
          </w:tcPr>
          <w:p w14:paraId="39C45F1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Çdo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student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vlerësohet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semestrit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numrit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pikëve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akumuluara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kriteret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cilat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meren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notim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3D81A6C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Kjo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tabela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sipas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cilës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bëhet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notimi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31E76EC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  <w:gridCol w:w="2128"/>
              <w:gridCol w:w="716"/>
            </w:tblGrid>
            <w:tr w:rsidR="00ED4CF6" w:rsidRPr="003C2673" w14:paraId="10FE6820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16912C93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Shkalla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28" w:type="dxa"/>
                </w:tcPr>
                <w:p w14:paraId="5A67AEEF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Përshkrimi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56AEF51E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Nota </w:t>
                  </w:r>
                </w:p>
              </w:tc>
            </w:tr>
            <w:tr w:rsidR="00ED4CF6" w:rsidRPr="003C2673" w14:paraId="1CD823D9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0AED6081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91% - 100% </w:t>
                  </w:r>
                </w:p>
              </w:tc>
              <w:tc>
                <w:tcPr>
                  <w:tcW w:w="2128" w:type="dxa"/>
                </w:tcPr>
                <w:p w14:paraId="4F9BF646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Notë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maksimale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2D43CB39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10.0 </w:t>
                  </w:r>
                </w:p>
              </w:tc>
            </w:tr>
            <w:tr w:rsidR="00ED4CF6" w:rsidRPr="003C2673" w14:paraId="151A0579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2AE40304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81% - 90% </w:t>
                  </w:r>
                </w:p>
              </w:tc>
              <w:tc>
                <w:tcPr>
                  <w:tcW w:w="2128" w:type="dxa"/>
                </w:tcPr>
                <w:p w14:paraId="0854795D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Shkëlqyeshëm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2BC08E26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9.0 </w:t>
                  </w:r>
                </w:p>
              </w:tc>
            </w:tr>
            <w:tr w:rsidR="00ED4CF6" w:rsidRPr="003C2673" w14:paraId="2116D6AA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2250B93E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71% - 80% </w:t>
                  </w:r>
                </w:p>
              </w:tc>
              <w:tc>
                <w:tcPr>
                  <w:tcW w:w="2128" w:type="dxa"/>
                </w:tcPr>
                <w:p w14:paraId="0DDF418A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Shumë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mirë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48E1FF95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8.0 </w:t>
                  </w:r>
                </w:p>
              </w:tc>
            </w:tr>
            <w:tr w:rsidR="00ED4CF6" w:rsidRPr="003C2673" w14:paraId="24C8A136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043601F1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61% - 70% </w:t>
                  </w:r>
                </w:p>
              </w:tc>
              <w:tc>
                <w:tcPr>
                  <w:tcW w:w="2128" w:type="dxa"/>
                </w:tcPr>
                <w:p w14:paraId="26F52749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Mirë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25F0DFDB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7.0 </w:t>
                  </w:r>
                </w:p>
              </w:tc>
            </w:tr>
            <w:tr w:rsidR="00ED4CF6" w:rsidRPr="003C2673" w14:paraId="6781A907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3FDD677D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51% - 60% </w:t>
                  </w:r>
                </w:p>
              </w:tc>
              <w:tc>
                <w:tcPr>
                  <w:tcW w:w="2128" w:type="dxa"/>
                </w:tcPr>
                <w:p w14:paraId="2BD7FC34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Kaluese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17F32FE9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6.0 </w:t>
                  </w:r>
                </w:p>
              </w:tc>
            </w:tr>
            <w:tr w:rsidR="00ED4CF6" w:rsidRPr="003C2673" w14:paraId="1F016607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743E51E6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50%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dhe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nën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28" w:type="dxa"/>
                </w:tcPr>
                <w:p w14:paraId="15D8D506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Jokaluese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3A711362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5.0</w:t>
                  </w:r>
                </w:p>
              </w:tc>
            </w:tr>
          </w:tbl>
          <w:p w14:paraId="13B3E2B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CF6" w:rsidRPr="003C2673" w14:paraId="4A09A1BC" w14:textId="77777777" w:rsidTr="00752877">
        <w:tc>
          <w:tcPr>
            <w:tcW w:w="9468" w:type="dxa"/>
            <w:gridSpan w:val="8"/>
          </w:tcPr>
          <w:p w14:paraId="3FC0299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ED4CF6" w:rsidRPr="003C2673" w14:paraId="3D87DA70" w14:textId="77777777" w:rsidTr="00752877">
        <w:tc>
          <w:tcPr>
            <w:tcW w:w="2756" w:type="dxa"/>
            <w:gridSpan w:val="3"/>
          </w:tcPr>
          <w:p w14:paraId="6E8E957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6712" w:type="dxa"/>
            <w:gridSpan w:val="5"/>
          </w:tcPr>
          <w:tbl>
            <w:tblPr>
              <w:tblW w:w="86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3"/>
            </w:tblGrid>
            <w:tr w:rsidR="00ED4CF6" w:rsidRPr="003C2673" w14:paraId="6A0AB1A4" w14:textId="77777777" w:rsidTr="00752877">
              <w:trPr>
                <w:trHeight w:val="297"/>
              </w:trPr>
              <w:tc>
                <w:tcPr>
                  <w:tcW w:w="8673" w:type="dxa"/>
                </w:tcPr>
                <w:p w14:paraId="6F09E7B3" w14:textId="77777777" w:rsidR="00ED4CF6" w:rsidRPr="003C2673" w:rsidRDefault="00ED4CF6" w:rsidP="00ED4C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1. “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Themen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Aktuell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1”,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Kursbuch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Lektion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1-5, </w:t>
                  </w:r>
                  <w:proofErr w:type="spellStart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Hueber</w:t>
                  </w:r>
                  <w:proofErr w:type="spellEnd"/>
                  <w:r w:rsidRPr="003C267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Verlag, München, 2007 </w:t>
                  </w:r>
                </w:p>
              </w:tc>
            </w:tr>
          </w:tbl>
          <w:p w14:paraId="374DC4E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2. “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Themen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Aktuell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1”,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Arbeitsbuch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Lektion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1-5,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Hueber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Verlag, München, 2007 \</w:t>
            </w:r>
          </w:p>
        </w:tc>
      </w:tr>
      <w:tr w:rsidR="00ED4CF6" w:rsidRPr="003C2673" w14:paraId="1CDEB4F8" w14:textId="77777777" w:rsidTr="00752877">
        <w:tc>
          <w:tcPr>
            <w:tcW w:w="2756" w:type="dxa"/>
            <w:gridSpan w:val="3"/>
          </w:tcPr>
          <w:p w14:paraId="1FD3D295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6712" w:type="dxa"/>
            <w:gridSpan w:val="5"/>
          </w:tcPr>
          <w:p w14:paraId="1C42541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Dreyer-Schmitt: </w:t>
            </w:r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Lehr-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Übungsbuch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der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deutschen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Grammatik </w:t>
            </w:r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Neubearbeitung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Verlag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für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Deutsch</w:t>
            </w:r>
          </w:p>
          <w:p w14:paraId="37A054B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Unterwegs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</w:rPr>
              <w:t xml:space="preserve">, Band: 5, Ernst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</w:rPr>
              <w:t>Schulbuchverlag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</w:rPr>
              <w:t xml:space="preserve">, Stuttgart, 2001 </w:t>
            </w:r>
          </w:p>
        </w:tc>
      </w:tr>
      <w:tr w:rsidR="00ED4CF6" w:rsidRPr="003C2673" w14:paraId="44EA0E6B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8" w:type="dxa"/>
            <w:gridSpan w:val="8"/>
            <w:shd w:val="clear" w:color="auto" w:fill="auto"/>
          </w:tcPr>
          <w:p w14:paraId="26D14252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dizejnuar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4CF6" w:rsidRPr="003C2673" w14:paraId="7014FE95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shd w:val="clear" w:color="auto" w:fill="auto"/>
            <w:vAlign w:val="center"/>
          </w:tcPr>
          <w:p w14:paraId="6237F569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854" w:type="dxa"/>
            <w:gridSpan w:val="6"/>
            <w:shd w:val="clear" w:color="auto" w:fill="auto"/>
          </w:tcPr>
          <w:p w14:paraId="17CEB57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Ligjerata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ED4CF6" w:rsidRPr="003C2673" w14:paraId="35F35DB0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0777E3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3332910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Njoftimi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studentëve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përmbajtjen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lëndës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literaturën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nevojshme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4CF6" w:rsidRPr="003C2673" w14:paraId="7691AF8A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545E0B18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36DC6F9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41B28FF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begrüssen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4A87F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vorstellen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50062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Buchstabieren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07AE0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2EAB0E9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Personalpronomen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Verb </w:t>
            </w:r>
          </w:p>
          <w:p w14:paraId="735A9EF9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Satzstukturen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Aussagesatz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Wort-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Satzfrage</w:t>
            </w:r>
            <w:proofErr w:type="spellEnd"/>
          </w:p>
        </w:tc>
      </w:tr>
      <w:tr w:rsidR="00ED4CF6" w:rsidRPr="003C2673" w14:paraId="5A29B612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4E082F5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2B0D710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3DB5F182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Telefonieren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FEEB8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Rechnen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9DA78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1031B77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„Sie“ </w:t>
            </w:r>
          </w:p>
          <w:p w14:paraId="5E57677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Konjugation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Präsens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4ED738C8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0D3AA8F5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1E707F5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5CD3141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Beruf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Herkunft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B763A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1E7672E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„Sie“ </w:t>
            </w:r>
          </w:p>
          <w:p w14:paraId="4121F59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Konjugation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Präsens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099B68F5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1AA40D3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6B85B54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</w:p>
          <w:p w14:paraId="0387F10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Haus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Haushalt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35A49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benennen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F7AD36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25BCDC9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Artikel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675CE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Negation </w:t>
            </w:r>
          </w:p>
          <w:p w14:paraId="6D62FD46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Pluralformen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6D102DE2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614" w:type="dxa"/>
            <w:gridSpan w:val="2"/>
            <w:vAlign w:val="center"/>
          </w:tcPr>
          <w:p w14:paraId="2A1642A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33084E6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Haus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Haushalt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0B556D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Preisangaben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verstehen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D0FBC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1758B9D2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Artikel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DD78A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Negation </w:t>
            </w:r>
          </w:p>
          <w:p w14:paraId="686B079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Possessivartikel</w:t>
            </w:r>
            <w:proofErr w:type="spellEnd"/>
          </w:p>
        </w:tc>
      </w:tr>
      <w:tr w:rsidR="00ED4CF6" w:rsidRPr="003C2673" w14:paraId="1F6102F2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20BD301D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14EB898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Haus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Haushalt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B06B97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Richig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06968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63CA642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Possessivartikel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71309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Pluralformen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4824396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67BAB057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000BDCD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3: </w:t>
            </w:r>
          </w:p>
          <w:p w14:paraId="6222DDE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Essen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Trinken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EA86FB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Essgewohnheiten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D2A3C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Interviews </w:t>
            </w:r>
          </w:p>
          <w:p w14:paraId="01E31E6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011340D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AA907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Indefiniter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Artikel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Possessivartikel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Negation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75A78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A7CB0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Vokalwechsel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49563260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0BB4CA2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1C77B460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Essen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Trinken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74F925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Restaurant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bestellen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bezahlen</w:t>
            </w:r>
            <w:proofErr w:type="spellEnd"/>
          </w:p>
          <w:p w14:paraId="02AD76F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Tisch </w:t>
            </w:r>
          </w:p>
          <w:p w14:paraId="53BA6C8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31E3303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BEB54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Vokalwechsel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3C6CA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2248F9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möchten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</w:tr>
      <w:tr w:rsidR="00ED4CF6" w:rsidRPr="003C2673" w14:paraId="289A407F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0AD77661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06E5112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Essen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Trinken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CCEC0B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Komplimente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Reklamationen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Tisch </w:t>
            </w:r>
          </w:p>
          <w:p w14:paraId="42C3AF8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Lebensmittel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einkaufen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329F3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79130FD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54A06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möchten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</w:tr>
      <w:tr w:rsidR="00ED4CF6" w:rsidRPr="003C2673" w14:paraId="5B9001D6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40A9211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3366C70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Essen und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Trinken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8EED57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Speisekarte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80730D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Bierlexikon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CA895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Einkaufszettel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04DE93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01DB77C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Wiederholung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 Grammatik </w:t>
            </w:r>
          </w:p>
        </w:tc>
      </w:tr>
      <w:tr w:rsidR="00ED4CF6" w:rsidRPr="003C2673" w14:paraId="5C7A9916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EA34D1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54" w:type="dxa"/>
            <w:gridSpan w:val="6"/>
          </w:tcPr>
          <w:p w14:paraId="19D0DD0C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4: </w:t>
            </w:r>
          </w:p>
          <w:p w14:paraId="7CBCD49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Freizeit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34D71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Zurechtweisen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2D2BC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Um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Auskunft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bitten </w:t>
            </w:r>
          </w:p>
          <w:p w14:paraId="58F6678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Sich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verabreden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EFBE19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2B5CCD87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Trennbare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45850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Vokalwechsel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0DB80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können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müssen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und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dürfen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  <w:p w14:paraId="0959FE39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Uhrzeit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2934FF95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664FCCAA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854" w:type="dxa"/>
            <w:gridSpan w:val="6"/>
          </w:tcPr>
          <w:p w14:paraId="1E6B7046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Freizeit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ABEF11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Veranstaltungskalender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33DA0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Feierabend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3FC36A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Ansichtskarte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388BE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</w:t>
            </w:r>
          </w:p>
          <w:p w14:paraId="2B5CFBC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können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müssen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und „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dürfen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</w:tr>
      <w:tr w:rsidR="00ED4CF6" w:rsidRPr="003C2673" w14:paraId="599953A0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13DB744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ekatërmbëdhjetë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54" w:type="dxa"/>
            <w:gridSpan w:val="6"/>
          </w:tcPr>
          <w:p w14:paraId="67AC981F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5: </w:t>
            </w:r>
          </w:p>
          <w:p w14:paraId="6354D72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Wohnen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8CF7AC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Wohnungen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A58B7E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Wohnungsmarkt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E535E5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Einrichtungsgegenstände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kommentieren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5152DB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21E46C09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Definitpronomen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114BE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Demonstrativpronomen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CF6" w:rsidRPr="003C2673" w14:paraId="1944CDE8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6A2A0D3F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854" w:type="dxa"/>
            <w:gridSpan w:val="6"/>
          </w:tcPr>
          <w:p w14:paraId="6A4B07D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Wohnen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B78E121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Über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informieren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618BE6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Postkarte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Freunde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40D964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46E074D8" w14:textId="77777777" w:rsidR="00ED4CF6" w:rsidRPr="003C2673" w:rsidRDefault="00ED4CF6" w:rsidP="00ED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Ortsangaben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EF600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Përsëritja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gjithë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materialit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përgatitje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F6" w:rsidRPr="003C2673" w14:paraId="1FFC6B4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8" w:type="dxa"/>
            <w:gridSpan w:val="8"/>
            <w:shd w:val="clear" w:color="auto" w:fill="auto"/>
          </w:tcPr>
          <w:p w14:paraId="7F9C086E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mirësjelljes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4CF6" w:rsidRPr="003C2673" w14:paraId="426F3F34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9468" w:type="dxa"/>
            <w:gridSpan w:val="8"/>
          </w:tcPr>
          <w:p w14:paraId="31AC84CB" w14:textId="77777777" w:rsidR="00ED4CF6" w:rsidRPr="003C2673" w:rsidRDefault="00ED4CF6" w:rsidP="00ED4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Vijimi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rregullt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ligjëratave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mbajtja</w:t>
            </w:r>
            <w:proofErr w:type="spellEnd"/>
            <w:proofErr w:type="gram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qetësisë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mësim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shkyçja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telefonave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celular;hyrja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salle  me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D89777" w14:textId="77777777" w:rsidR="00A37BD2" w:rsidRPr="00B20B80" w:rsidRDefault="00A37BD2" w:rsidP="00B20B80"/>
    <w:sectPr w:rsidR="00A37BD2" w:rsidRPr="00B20B80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3455E0"/>
    <w:rsid w:val="003C2673"/>
    <w:rsid w:val="004A1DC4"/>
    <w:rsid w:val="005E7B59"/>
    <w:rsid w:val="0082307B"/>
    <w:rsid w:val="00A37BD2"/>
    <w:rsid w:val="00B20B80"/>
    <w:rsid w:val="00C061EA"/>
    <w:rsid w:val="00E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0ABC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5</cp:revision>
  <dcterms:created xsi:type="dcterms:W3CDTF">2017-02-06T12:19:00Z</dcterms:created>
  <dcterms:modified xsi:type="dcterms:W3CDTF">2020-04-03T16:40:00Z</dcterms:modified>
</cp:coreProperties>
</file>